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514" w:rsidRDefault="00016F2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ПРЕСС-РЕЛИЗ</w:t>
      </w:r>
      <w:bookmarkStart w:id="0" w:name="_GoBack"/>
      <w:bookmarkEnd w:id="0"/>
    </w:p>
    <w:p w:rsidR="00D83514" w:rsidRDefault="00016F2A">
      <w:pPr>
        <w:spacing w:before="120" w:after="120" w:line="288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Пятый сезон «Флагманов образования»: больше треков, сервисов и возможностей для жителей Хабаровского края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Стартовал новый сезон всероссийского проекта «Флагманы образования» президентской платформы «</w:t>
      </w:r>
      <w:hyperlink r:id="rId8" w:tooltip="https://rsv.ru/" w:history="1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</w:rPr>
          <w:t>Россия – страна возможностей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». Педагоги, управленцы и студенты из Хабаровского края ежегодно становятся участниками проекта, находят наставников, развивают профессиональные навыки и получают возможности для карьерного роста. В этом году проект расширил форматы участия, запустил новые цифровые сервисы и стал заметно масштабнее. 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«Флагманы образования» – всероссийский проект для тех, кто строит карьеру в сфере образования.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и управленцы получают новые навыки и возможности для профессионального роста, а студенты пробуют себя в профессии. Победители занимают руководящие должности, входят в кадровый резерв и получают персональные рекомендации по развитию. Регистрация уже открыта на сайте: </w:t>
      </w:r>
      <w:hyperlink r:id="rId9" w:tooltip="https://flagmany.rsv.ru/" w:history="1">
        <w:r>
          <w:rPr>
            <w:rStyle w:val="af8"/>
            <w:rFonts w:ascii="Times New Roman" w:eastAsia="Times New Roman" w:hAnsi="Times New Roman" w:cs="Times New Roman"/>
            <w:sz w:val="24"/>
            <w:szCs w:val="24"/>
          </w:rPr>
          <w:t>https://flagmany.rsv.ru/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Проект «Флагманы образования» проводится в рамках реализации федерального проекта «Россия – страна возможностей» национального проекта «Молодёжь и дети» при поддержке Федерального агентства по делам молодежи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«В конкурсе «Флагманы образования» за шесть лет приняли участие почти 300 тысяч педагогов, управленцев и студентов. Это сообщество людей, которые не просто учат, но и меняют образование, формируют новые подходы и открывают перспективы для тысяч учеников. В этом году мы открываем новые конкурсные треки: «Медиа», «Государство», «Культура», «Наставничество». Они помогут участникам не только развивать свои компетенции, но и находить точки пересечения образования, современных технологий и культуры. «Флагманы образования» – это не просто конкурс, а экосистема возможностей, в которой каждый может найти свою роль в создании будущего»,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отметил первый заместитель генерального директора президентской платформы «Россия – страна возможностей»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Геннадий Гурьянов.</w:t>
      </w:r>
    </w:p>
    <w:p w:rsidR="00D83514" w:rsidRDefault="00016F2A">
      <w:pPr>
        <w:pStyle w:val="afb"/>
        <w:spacing w:before="120" w:beforeAutospacing="0" w:after="120" w:afterAutospacing="0" w:line="288" w:lineRule="auto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От Хабаровского края на участие в прошлом сезоне конкурса «Флагманы образования» президентской платформы «Россия – страна возможностей» подали заявки </w:t>
      </w:r>
      <w:r w:rsidR="006313FE">
        <w:rPr>
          <w:b/>
          <w:color w:val="000000"/>
          <w:szCs w:val="24"/>
        </w:rPr>
        <w:t>1499 участников</w:t>
      </w:r>
      <w:r>
        <w:rPr>
          <w:b/>
          <w:color w:val="000000"/>
          <w:szCs w:val="24"/>
        </w:rPr>
        <w:t xml:space="preserve">. Из них 68% педагогов, 17% студентов и 15% управленцев. Студентка ФГБОУ ВО «Амурский гуманитарно-педагогический государственный университет» Евгения Катаева стала победителем.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все время проведения проекта «Флагманы образования» более 26 000 человек получили индивидуальные рекомендации по профессиональному развитию, 136 участников включены в региональные кадровые резервы, а 45 победителей конкурса заняли управленческие должности.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«Благодаря проекту в кадровый резерв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уже вошли 122 участника. Это значит, что система образования России получает мотивированных, энергичных и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подготовленных специалистов, готовых брать на себя ответственность и внедрять новые подходы. Мы рассчитываем, что новый сезон «Флагманов образования» президентской платформы «Россия – страна возможностей» позволит нам открыть еще больше талантливых педагогов, управленцев и студентов, которые станут опорой для развития образования в стране»,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отметила директор Департамента кадровой политики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Ирина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Кокоева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2025 году проект «Флагманы образования» расширяет направления участия. Открыты четыре новых трека: «Медиа», «Государство», «Культура» и «Наставничество».</w:t>
      </w:r>
    </w:p>
    <w:p w:rsidR="00D83514" w:rsidRDefault="00016F2A">
      <w:pPr>
        <w:pStyle w:val="af9"/>
        <w:numPr>
          <w:ilvl w:val="0"/>
          <w:numId w:val="3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«Медиа» – для тех, кто работает с образовательным контентом и технологиями.</w:t>
      </w:r>
    </w:p>
    <w:p w:rsidR="00D83514" w:rsidRDefault="00016F2A">
      <w:pPr>
        <w:pStyle w:val="af9"/>
        <w:numPr>
          <w:ilvl w:val="0"/>
          <w:numId w:val="3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«Государство» – для участников, вовлечённых в развитие образовательной политики.</w:t>
      </w:r>
    </w:p>
    <w:p w:rsidR="00D83514" w:rsidRDefault="00016F2A">
      <w:pPr>
        <w:pStyle w:val="af9"/>
        <w:numPr>
          <w:ilvl w:val="0"/>
          <w:numId w:val="3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«Культура» – для тех, кто вдохновляет учиться через искусство, традиции и российские ценности.</w:t>
      </w:r>
    </w:p>
    <w:p w:rsidR="00D83514" w:rsidRDefault="00016F2A">
      <w:pPr>
        <w:pStyle w:val="af9"/>
        <w:numPr>
          <w:ilvl w:val="0"/>
          <w:numId w:val="3"/>
        </w:numPr>
        <w:spacing w:before="120" w:after="12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«Наставничество» – для опытных профессионалов и тех, кто ищет поддержку на старте.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«Проект «Флагманы образования» – настоящий пример того, как система поддержки талантов работает на практике. Только за последний год 11 региональных и муниципальных команд прошли программу профессионального развития, 400 студентов получили возможность стажировок, а 78% участников «Педагогической пробы» выразили желание работать в образовательных учреждениях. Это показывает, что проект не только выявляет лидеров, но и помогает им найти свое место в профессии»,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отметил заместитель руководителя Федерального агентства по делам молодежи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Росмолодежь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Денис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Аширов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пятом сезоне продолжит развиваться сообщество «Созвездие Флагманов образования»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открыт новый конкурсный отбор для тех, кто готов войти в число ведущих экспертов сферы образования. Эксперты проекта участвуют в ключевых событиях – от международных форумов до профильных сессий и образовательных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интенсивов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представляют проект на внешних площадках и становятся наставниками для участников платформы «Россия – страна возможностей».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Расширение проектных направлений в 2025 году отражает стремление «Флагманов образования» отвечать на запрос времени – помогать педагогам становиться не только профессионалами своего дела, но и носителями ценностей, способными формировать осознанную гражданскую позицию у подрастающего поколения.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2025 году «Флагманы образования» не только расширяют направления участия, но и запускают новые сервисы для профессионального развития. Сервис «Оценка компетенций» поможет участникам понять свои сильные стороны. «Библиотека контента» – это подборка лекций, методических материалов и кейсов от экспертов. А «Каталог возможностей» соберет актуальные предложения от партнёров: гранты, стажировки, конкурсы и программы обучения.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открытия представили «Флагманские мастерские» – новый формат, где участники обсуждают важные темы вместе с экспертами. Каждая мастерская посвящена отдельному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направлению: взаимодействию школы и семьи, воспитанию, управлению, проектной деятельности, работе с медиа и технологиями. Общение проходит в чатах,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модерируют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эксперты «Созвездия Флагманов образования». Там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обмениваются опытом, получают практические советы и пробуют новые образовательные подходы. Наставники мастерской – педагоги-практики, активно работающие с цифровыми форматами и образовательными медиа.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Обновленная концепцию проекта «Флагманы образования» президентской платформы «Россия – страна возможностей» была представлена на площадке Национального центра «Россия» в рамках презентации нового нацпроекта «Молодежь и дети».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Организатором события выступили: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Росмолодёжь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Госкорпорация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Роскосмос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», Российское общество «Знание», АНО «Национальные приоритеты России», президентская платформа «Россия – страна возможностей», Движение Первых, Национальный центр «Россия»,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Добро.рф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D83514" w:rsidRDefault="00016F2A">
      <w:pPr>
        <w:spacing w:before="120" w:after="120" w:line="288" w:lineRule="auto"/>
        <w:ind w:firstLine="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Информационная справка: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Президентская платформа «Россия – страна возможностей»</w:t>
      </w:r>
      <w:r>
        <w:rPr>
          <w:rFonts w:ascii="Times New Roman" w:eastAsia="Times New Roman" w:hAnsi="Times New Roman" w:cs="Times New Roman"/>
        </w:rPr>
        <w:t xml:space="preserve"> была создана по инициативе Президента РФ Владимира Путина 22 мая 2018 года. Миссия платформы – создавать будущее России, открывая равные возможности для каждого. Платформа помогает любому человеку, независимо от того, где он живет, какую профессию он выбрал и в какой семье вырос, получить возможности для своего развития. Это открытая площадка для общения талантливых и неравнодушных людей всех возрастов, обмена опытом между школьниками, студентами, профильными специалистами, предпринимателями, управленцами и волонтерами. Наблюдательный совет платформы «Россия – страна возможностей» возглавляет Президент РФ Владимир Путин. 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Президентская платформа «Россия – страна возможностей» работает уже 6 лет, и за это время участниками ее проектов стали люди из 89 регионов России и 150 стран мира. Участие в проектах, конкурсах, олимпиадах и образовательных программах платформы помогает найти единомышленников и завести полезные знакомства, поступить в вуз, пройти перспективную стажировку, продвинуться по карьерной лестнице и найти работу мечты, получить </w:t>
      </w:r>
      <w:proofErr w:type="spellStart"/>
      <w:r>
        <w:rPr>
          <w:rFonts w:ascii="Times New Roman" w:eastAsia="Times New Roman" w:hAnsi="Times New Roman" w:cs="Times New Roman"/>
        </w:rPr>
        <w:t>медиаподдержку</w:t>
      </w:r>
      <w:proofErr w:type="spellEnd"/>
      <w:r>
        <w:rPr>
          <w:rFonts w:ascii="Times New Roman" w:eastAsia="Times New Roman" w:hAnsi="Times New Roman" w:cs="Times New Roman"/>
        </w:rPr>
        <w:t>, выиграть грант, получить персонального наставника, который поможет отточить мастерство и развить лидерские качества. Сегодня на платформе представлены проекты и конкурсы для людей разных возрастов и интересов – от школьников до опытных управленцев, для профильных специалистов и рабочих профессий, представителей кадрового резерва и тех, кто только планирует туда войти.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рамках деятельности президентской платформы «Россия – страна возможностей» создана – Мастерская управления «</w:t>
      </w:r>
      <w:proofErr w:type="spellStart"/>
      <w:r>
        <w:rPr>
          <w:rFonts w:ascii="Times New Roman" w:eastAsia="Times New Roman" w:hAnsi="Times New Roman" w:cs="Times New Roman"/>
        </w:rPr>
        <w:t>Сенеж</w:t>
      </w:r>
      <w:proofErr w:type="spellEnd"/>
      <w:r>
        <w:rPr>
          <w:rFonts w:ascii="Times New Roman" w:eastAsia="Times New Roman" w:hAnsi="Times New Roman" w:cs="Times New Roman"/>
        </w:rPr>
        <w:t>». Обучение в ней проходят участники проектов и конкурсов платформы, активная молодежь, а также управленцы и государственные служащие. Мастерская выступает центром консолидации обучения управленческого состава трех ключевых сфер: государства, бизнеса и общества. На территории Мастерской проводятся всероссийские образовательные и молодежные мероприятия, в том числе Всероссийского молодежного образовательного форума «Территория смыслов».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базе ведущих вузов страны президентская платформа «Россия – страна возможностей» развивает Центры компетенций, в которых студенты проходят диагностику </w:t>
      </w:r>
      <w:proofErr w:type="spellStart"/>
      <w:r>
        <w:rPr>
          <w:rFonts w:ascii="Times New Roman" w:eastAsia="Times New Roman" w:hAnsi="Times New Roman" w:cs="Times New Roman"/>
        </w:rPr>
        <w:t>надпрофессиональных</w:t>
      </w:r>
      <w:proofErr w:type="spellEnd"/>
      <w:r>
        <w:rPr>
          <w:rFonts w:ascii="Times New Roman" w:eastAsia="Times New Roman" w:hAnsi="Times New Roman" w:cs="Times New Roman"/>
        </w:rPr>
        <w:t xml:space="preserve"> навыков и получают инструменты для их развития. Молодые специалисты, прошедшие оценку универсальных компетенций, теперь могут подтвердить свои навыки на крупнейшей российской платформе онлайн-</w:t>
      </w:r>
      <w:proofErr w:type="spellStart"/>
      <w:r>
        <w:rPr>
          <w:rFonts w:ascii="Times New Roman" w:eastAsia="Times New Roman" w:hAnsi="Times New Roman" w:cs="Times New Roman"/>
        </w:rPr>
        <w:t>рекрутинга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HeadHunter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Офисы платформы «Россия – страна возможностей» работают в Донецкой и Луганской народных республиках. В них оборудованы лектории для просветительских мероприятий, информационные </w:t>
      </w:r>
      <w:r>
        <w:rPr>
          <w:rFonts w:ascii="Times New Roman" w:eastAsia="Times New Roman" w:hAnsi="Times New Roman" w:cs="Times New Roman"/>
        </w:rPr>
        <w:lastRenderedPageBreak/>
        <w:t>центры, а также зоны совместной работы, предоставляющие жителям Донбасса и Новороссии дополнительные возможности для личностного и профессионального развития.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Национальный центр «Россия»</w:t>
      </w:r>
      <w:r>
        <w:rPr>
          <w:rFonts w:ascii="Times New Roman" w:eastAsia="Times New Roman" w:hAnsi="Times New Roman" w:cs="Times New Roman"/>
        </w:rPr>
        <w:t xml:space="preserve"> создан по распоряжению Президента Российской Федерации Владимира Путина для сохранения наследия Международной выставки-форума «Россия» и демонстрации достижений страны и ее граждан на постоянной основе. В работе центра участвуют федеральные органы власти, государственные компании, корпорации и регионы.</w:t>
      </w:r>
    </w:p>
    <w:p w:rsidR="00D83514" w:rsidRDefault="00016F2A">
      <w:pPr>
        <w:spacing w:before="120" w:after="12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КОНТАКТЫ ДЛЯ СМИ:</w:t>
      </w:r>
    </w:p>
    <w:tbl>
      <w:tblPr>
        <w:tblStyle w:val="StGen1"/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62"/>
        <w:gridCol w:w="6095"/>
      </w:tblGrid>
      <w:tr w:rsidR="00D83514">
        <w:trPr>
          <w:trHeight w:val="251"/>
        </w:trPr>
        <w:tc>
          <w:tcPr>
            <w:tcW w:w="3862" w:type="dxa"/>
          </w:tcPr>
          <w:p w:rsidR="00D83514" w:rsidRDefault="00016F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Пресс-секретарь проекта «Флагманы образования» </w:t>
            </w:r>
          </w:p>
          <w:p w:rsidR="00D83514" w:rsidRDefault="00016F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Светлана Пирогова</w:t>
            </w:r>
          </w:p>
          <w:p w:rsidR="00D83514" w:rsidRDefault="00016F2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+ 7 (966) 132–21–63</w:t>
            </w:r>
          </w:p>
          <w:p w:rsidR="00D83514" w:rsidRDefault="00ED48B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hyperlink r:id="rId10" w:tooltip="mailto:svetlana.pirogova@rsv.ru" w:history="1">
              <w:r w:rsidR="00016F2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svetlana.pirogova@rsv.ru</w:t>
              </w:r>
            </w:hyperlink>
            <w:r w:rsidR="00016F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6095" w:type="dxa"/>
          </w:tcPr>
          <w:p w:rsidR="00D83514" w:rsidRDefault="00016F2A">
            <w:pPr>
              <w:ind w:firstLine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 направления региональных коммуникаций АНО «Россия – страна возможностей»</w:t>
            </w:r>
          </w:p>
          <w:p w:rsidR="00D83514" w:rsidRDefault="00016F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Елена Барсегова</w:t>
            </w:r>
          </w:p>
          <w:p w:rsidR="00D83514" w:rsidRDefault="00016F2A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+7 926 189-10-11 </w:t>
            </w:r>
          </w:p>
          <w:p w:rsidR="00D83514" w:rsidRDefault="00ED48B8">
            <w:pPr>
              <w:ind w:hanging="2"/>
              <w:rPr>
                <w:rFonts w:ascii="Times New Roman" w:eastAsia="Times New Roman" w:hAnsi="Times New Roman" w:cs="Times New Roman"/>
                <w:u w:val="single"/>
              </w:rPr>
            </w:pPr>
            <w:hyperlink r:id="rId11" w:tooltip="mailto:elena.barsegova@rsv.ru" w:history="1">
              <w:r w:rsidR="00016F2A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elena.barsegova@rsv.ru</w:t>
              </w:r>
            </w:hyperlink>
            <w:r w:rsidR="00016F2A">
              <w:rPr>
                <w:rFonts w:ascii="Times New Roman" w:eastAsia="Times New Roman" w:hAnsi="Times New Roman" w:cs="Times New Roman"/>
                <w:color w:val="0000FF"/>
                <w:u w:val="single"/>
              </w:rPr>
              <w:t xml:space="preserve">   </w:t>
            </w:r>
          </w:p>
        </w:tc>
      </w:tr>
    </w:tbl>
    <w:p w:rsidR="00D83514" w:rsidRDefault="00D8351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D83514">
      <w:headerReference w:type="default" r:id="rId12"/>
      <w:pgSz w:w="11900" w:h="16840"/>
      <w:pgMar w:top="2091" w:right="985" w:bottom="1440" w:left="1080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8B8" w:rsidRDefault="00ED48B8">
      <w:pPr>
        <w:spacing w:after="0" w:line="240" w:lineRule="auto"/>
      </w:pPr>
      <w:r>
        <w:separator/>
      </w:r>
    </w:p>
  </w:endnote>
  <w:endnote w:type="continuationSeparator" w:id="0">
    <w:p w:rsidR="00ED48B8" w:rsidRDefault="00ED4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8B8" w:rsidRDefault="00ED48B8">
      <w:pPr>
        <w:spacing w:after="0" w:line="240" w:lineRule="auto"/>
      </w:pPr>
      <w:r>
        <w:separator/>
      </w:r>
    </w:p>
  </w:footnote>
  <w:footnote w:type="continuationSeparator" w:id="0">
    <w:p w:rsidR="00ED48B8" w:rsidRDefault="00ED4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514" w:rsidRDefault="00016F2A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8364"/>
      </w:tabs>
      <w:ind w:firstLine="0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3206750</wp:posOffset>
              </wp:positionH>
              <wp:positionV relativeFrom="paragraph">
                <wp:posOffset>-240608</wp:posOffset>
              </wp:positionV>
              <wp:extent cx="1426210" cy="1080135"/>
              <wp:effectExtent l="0" t="0" r="0" b="0"/>
              <wp:wrapSquare wrapText="bothSides"/>
              <wp:docPr id="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/>
                    </pic:nvPicPr>
                    <pic:blipFill>
                      <a:blip r:embed="rId1"/>
                      <a:srcRect l="12485" t="14035" r="10105" b="27221"/>
                      <a:stretch/>
                    </pic:blipFill>
                    <pic:spPr bwMode="auto">
                      <a:xfrm>
                        <a:off x="0" y="0"/>
                        <a:ext cx="1426210" cy="108013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z-index:251660288;o:allowoverlap:true;o:allowincell:true;mso-position-horizontal-relative:margin;margin-left:252.50pt;mso-position-horizontal:absolute;mso-position-vertical-relative:text;margin-top:-18.95pt;mso-position-vertical:absolute;width:112.30pt;height:85.05pt;mso-wrap-distance-left:9.00pt;mso-wrap-distance-top:0.00pt;mso-wrap-distance-right:9.00pt;mso-wrap-distance-bottom:0.00pt;" stroked="f">
              <v:path textboxrect="0,0,0,0"/>
              <w10:wrap type="square"/>
              <v:imagedata r:id="rId2" o:title=""/>
            </v:shape>
          </w:pict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5140009</wp:posOffset>
              </wp:positionH>
              <wp:positionV relativeFrom="paragraph">
                <wp:posOffset>-48372</wp:posOffset>
              </wp:positionV>
              <wp:extent cx="928518" cy="804874"/>
              <wp:effectExtent l="0" t="0" r="5080" b="0"/>
              <wp:wrapNone/>
              <wp:docPr id="2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>
                        <a:picLocks noChangeAspect="1"/>
                      </pic:cNvPicPr>
                    </pic:nvPicPr>
                    <pic:blipFill>
                      <a:blip r:embed="rId3"/>
                      <a:srcRect l="9384" r="15596"/>
                      <a:stretch/>
                    </pic:blipFill>
                    <pic:spPr bwMode="auto">
                      <a:xfrm>
                        <a:off x="0" y="0"/>
                        <a:ext cx="928518" cy="804874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z-index:251662336;o:allowoverlap:true;o:allowincell:true;mso-position-horizontal-relative:margin;margin-left:404.73pt;mso-position-horizontal:absolute;mso-position-vertical-relative:text;margin-top:-3.81pt;mso-position-vertical:absolute;width:73.11pt;height:63.38pt;mso-wrap-distance-left:9.00pt;mso-wrap-distance-top:0.00pt;mso-wrap-distance-right:9.00pt;mso-wrap-distance-bottom:0.00pt;" stroked="f">
              <v:path textboxrect="0,0,0,0"/>
              <v:imagedata r:id="rId4" o:title=""/>
            </v:shape>
          </w:pict>
        </mc:Fallback>
      </mc:AlternateContent>
    </w: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1606932</wp:posOffset>
              </wp:positionH>
              <wp:positionV relativeFrom="paragraph">
                <wp:posOffset>-40230</wp:posOffset>
              </wp:positionV>
              <wp:extent cx="1096010" cy="808355"/>
              <wp:effectExtent l="0" t="0" r="0" b="0"/>
              <wp:wrapThrough wrapText="bothSides">
                <wp:wrapPolygon edited="1">
                  <wp:start x="6758" y="1018"/>
                  <wp:lineTo x="2253" y="18325"/>
                  <wp:lineTo x="2253" y="20361"/>
                  <wp:lineTo x="4130" y="20361"/>
                  <wp:lineTo x="9761" y="18325"/>
                  <wp:lineTo x="18021" y="12217"/>
                  <wp:lineTo x="18396" y="10181"/>
                  <wp:lineTo x="19147" y="1018"/>
                  <wp:lineTo x="6758" y="1018"/>
                </wp:wrapPolygon>
              </wp:wrapThrough>
              <wp:docPr id="3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molodezh_deti_molodezh_deti.png"/>
                      <pic:cNvPicPr>
                        <a:picLocks noChangeAspect="1"/>
                      </pic:cNvPicPr>
                    </pic:nvPicPr>
                    <pic:blipFill>
                      <a:blip r:embed="rId5"/>
                      <a:srcRect l="29155" t="21977" r="29283" b="23510"/>
                      <a:stretch/>
                    </pic:blipFill>
                    <pic:spPr bwMode="auto">
                      <a:xfrm>
                        <a:off x="0" y="0"/>
                        <a:ext cx="1096010" cy="80835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position:absolute;z-index:251663360;o:allowoverlap:true;o:allowincell:true;mso-position-horizontal-relative:text;margin-left:126.53pt;mso-position-horizontal:absolute;mso-position-vertical-relative:text;margin-top:-3.17pt;mso-position-vertical:absolute;width:86.30pt;height:63.65pt;mso-wrap-distance-left:9.00pt;mso-wrap-distance-top:0.00pt;mso-wrap-distance-right:9.00pt;mso-wrap-distance-bottom:0.00pt;" wrapcoords="31287 4713 10431 84838 10431 94264 19120 94264 45190 84838 83431 56560 85167 47134 88644 4713 31287 4713" stroked="f">
              <v:path textboxrect="0,0,0,0"/>
              <w10:wrap type="through"/>
              <v:imagedata r:id="rId6" o:title="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194534</wp:posOffset>
              </wp:positionV>
              <wp:extent cx="1146018" cy="237575"/>
              <wp:effectExtent l="0" t="0" r="0" b="0"/>
              <wp:wrapNone/>
              <wp:docPr id="4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Росмол.jpg"/>
                      <pic:cNvPicPr>
                        <a:picLocks noChangeAspect="1"/>
                      </pic:cNvPicPr>
                    </pic:nvPicPr>
                    <pic:blipFill>
                      <a:blip r:embed="rId7"/>
                      <a:srcRect l="8980" t="62437" r="10030"/>
                      <a:stretch/>
                    </pic:blipFill>
                    <pic:spPr bwMode="auto">
                      <a:xfrm>
                        <a:off x="0" y="0"/>
                        <a:ext cx="1146018" cy="237575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251661312;o:allowoverlap:true;o:allowincell:true;mso-position-horizontal-relative:margin;mso-position-horizontal:left;mso-position-vertical-relative:text;margin-top:15.32pt;mso-position-vertical:absolute;width:90.24pt;height:18.71pt;mso-wrap-distance-left:9.00pt;mso-wrap-distance-top:0.00pt;mso-wrap-distance-right:9.00pt;mso-wrap-distance-bottom:0.00pt;" stroked="f">
              <v:path textboxrect="0,0,0,0"/>
              <v:imagedata r:id="rId8" o:title=""/>
            </v:shape>
          </w:pict>
        </mc:Fallback>
      </mc:AlternateContent>
    </w:r>
    <w:r>
      <w:rPr>
        <w:color w:val="000000"/>
      </w:rPr>
      <w:t xml:space="preserve">    </w:t>
    </w:r>
  </w:p>
  <w:p w:rsidR="00D83514" w:rsidRDefault="00D83514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spacing w:after="0" w:line="240" w:lineRule="auto"/>
      <w:ind w:left="6804" w:right="-1033" w:firstLine="0"/>
      <w:jc w:val="both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E1F86"/>
    <w:multiLevelType w:val="hybridMultilevel"/>
    <w:tmpl w:val="34DC6102"/>
    <w:lvl w:ilvl="0" w:tplc="E9AE60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F824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1A3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0CCE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1473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CD1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84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4C3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A05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41210"/>
    <w:multiLevelType w:val="hybridMultilevel"/>
    <w:tmpl w:val="21CE2CCE"/>
    <w:lvl w:ilvl="0" w:tplc="2D4C24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99892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A1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106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692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245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2A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AD0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560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B93F70"/>
    <w:multiLevelType w:val="hybridMultilevel"/>
    <w:tmpl w:val="D1CE45FA"/>
    <w:lvl w:ilvl="0" w:tplc="F98AC8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E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FC0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266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23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8441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AE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8CB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5C8F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14"/>
    <w:rsid w:val="00016F2A"/>
    <w:rsid w:val="006313FE"/>
    <w:rsid w:val="008623B6"/>
    <w:rsid w:val="00D83514"/>
    <w:rsid w:val="00ED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7C060-1B54-4427-B934-DCE24C20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64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uiPriority w:val="10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after="120" w:line="240" w:lineRule="auto"/>
      <w:ind w:firstLine="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Subtitle"/>
    <w:basedOn w:val="a"/>
    <w:next w:val="a"/>
    <w:link w:val="a6"/>
    <w:uiPriority w:val="11"/>
    <w:qFormat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 w:line="240" w:lineRule="auto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character" w:styleId="af8">
    <w:name w:val="Hyperlink"/>
    <w:link w:val="13"/>
    <w:uiPriority w:val="99"/>
    <w:rPr>
      <w:color w:val="0000FF"/>
      <w:u w:val="single"/>
    </w:rPr>
  </w:style>
  <w:style w:type="paragraph" w:customStyle="1" w:styleId="13">
    <w:name w:val="Гиперссылка1"/>
    <w:link w:val="af8"/>
    <w:uiPriority w:val="99"/>
    <w:pPr>
      <w:ind w:firstLine="0"/>
    </w:pPr>
    <w:rPr>
      <w:color w:val="0000FF"/>
      <w:u w:val="single"/>
    </w:rPr>
  </w:style>
  <w:style w:type="table" w:customStyle="1" w:styleId="StGen1">
    <w:name w:val="StGen1"/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b">
    <w:name w:val="Normal (Web)"/>
    <w:basedOn w:val="a"/>
    <w:link w:val="afc"/>
    <w:uiPriority w:val="99"/>
    <w:pPr>
      <w:spacing w:beforeAutospacing="1" w:afterAutospacing="1" w:line="240" w:lineRule="auto"/>
      <w:ind w:firstLine="0"/>
    </w:pPr>
    <w:rPr>
      <w:rFonts w:ascii="Times New Roman" w:hAnsi="Times New Roman"/>
      <w:sz w:val="24"/>
    </w:rPr>
  </w:style>
  <w:style w:type="character" w:customStyle="1" w:styleId="afc">
    <w:name w:val="Обычный (веб) Знак"/>
    <w:basedOn w:val="a0"/>
    <w:link w:val="afb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ena.barsegova@rs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vetlana.pirogova@rs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lagmany.rsv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0.jpg"/><Relationship Id="rId3" Type="http://schemas.openxmlformats.org/officeDocument/2006/relationships/image" Target="media/image2.png"/><Relationship Id="rId7" Type="http://schemas.openxmlformats.org/officeDocument/2006/relationships/image" Target="media/image4.jp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cKOVlGnWcylTCwuIS6JqcKY6lQ==">CgMxLjAyCGguZ2pkZ3hzOAByITE3ZzVOb0gwUmI3dVBERkdBUjZxblNQN1lheFk3OHVxSA==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Нина Сергеевна</dc:creator>
  <cp:lastModifiedBy>Пользователь Windows</cp:lastModifiedBy>
  <cp:revision>2</cp:revision>
  <dcterms:created xsi:type="dcterms:W3CDTF">2025-05-12T23:30:00Z</dcterms:created>
  <dcterms:modified xsi:type="dcterms:W3CDTF">2025-05-12T23:30:00Z</dcterms:modified>
</cp:coreProperties>
</file>